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1222"/>
      </w:tblGrid>
      <w:tr w:rsidR="00466873" w14:paraId="488E53C3" w14:textId="77777777" w:rsidTr="00466873">
        <w:tc>
          <w:tcPr>
            <w:tcW w:w="1927" w:type="dxa"/>
            <w:tcBorders>
              <w:top w:val="single" w:sz="4" w:space="0" w:color="auto"/>
              <w:left w:val="single" w:sz="4" w:space="0" w:color="auto"/>
              <w:bottom w:val="single" w:sz="4" w:space="0" w:color="auto"/>
              <w:right w:val="single" w:sz="4" w:space="0" w:color="auto"/>
            </w:tcBorders>
            <w:hideMark/>
          </w:tcPr>
          <w:p w14:paraId="68BAD64A" w14:textId="77777777" w:rsidR="00466873" w:rsidRDefault="00466873">
            <w:pPr>
              <w:spacing w:after="0" w:line="360" w:lineRule="auto"/>
              <w:rPr>
                <w:rFonts w:cs="Calibri"/>
                <w:b/>
                <w:bCs/>
                <w:sz w:val="24"/>
                <w:szCs w:val="24"/>
                <w:u w:val="single"/>
              </w:rPr>
            </w:pPr>
            <w:r>
              <w:rPr>
                <w:rFonts w:cs="Calibri"/>
                <w:b/>
                <w:bCs/>
                <w:sz w:val="24"/>
                <w:szCs w:val="24"/>
                <w:u w:val="single"/>
              </w:rPr>
              <w:t>CONDITIONS</w:t>
            </w:r>
          </w:p>
          <w:p w14:paraId="62BBC74C" w14:textId="77777777" w:rsidR="00466873" w:rsidRDefault="00466873">
            <w:pPr>
              <w:spacing w:after="0" w:line="360" w:lineRule="auto"/>
              <w:rPr>
                <w:rFonts w:cs="Calibri"/>
                <w:b/>
                <w:bCs/>
                <w:sz w:val="24"/>
                <w:szCs w:val="24"/>
              </w:rPr>
            </w:pPr>
            <w:r>
              <w:rPr>
                <w:rFonts w:cs="Calibri"/>
                <w:b/>
                <w:bCs/>
                <w:sz w:val="24"/>
                <w:szCs w:val="24"/>
              </w:rPr>
              <w:t>Loan Amount</w:t>
            </w:r>
          </w:p>
        </w:tc>
        <w:tc>
          <w:tcPr>
            <w:tcW w:w="11222" w:type="dxa"/>
            <w:tcBorders>
              <w:top w:val="single" w:sz="4" w:space="0" w:color="auto"/>
              <w:left w:val="single" w:sz="4" w:space="0" w:color="auto"/>
              <w:bottom w:val="single" w:sz="4" w:space="0" w:color="auto"/>
              <w:right w:val="single" w:sz="4" w:space="0" w:color="auto"/>
            </w:tcBorders>
          </w:tcPr>
          <w:p w14:paraId="58D99675" w14:textId="77777777" w:rsidR="00466873" w:rsidRDefault="00466873">
            <w:pPr>
              <w:pStyle w:val="ListParagraph"/>
              <w:spacing w:after="0" w:line="360" w:lineRule="auto"/>
              <w:rPr>
                <w:rFonts w:cs="Calibri"/>
                <w:b/>
                <w:bCs/>
                <w:sz w:val="24"/>
                <w:szCs w:val="24"/>
              </w:rPr>
            </w:pPr>
          </w:p>
          <w:p w14:paraId="2E6DFD44" w14:textId="77777777" w:rsidR="00466873" w:rsidRDefault="00466873" w:rsidP="00DE05C3">
            <w:pPr>
              <w:pStyle w:val="ListParagraph"/>
              <w:numPr>
                <w:ilvl w:val="0"/>
                <w:numId w:val="1"/>
              </w:numPr>
              <w:spacing w:after="0" w:line="360" w:lineRule="auto"/>
              <w:rPr>
                <w:rFonts w:cs="Calibri"/>
                <w:b/>
                <w:bCs/>
                <w:sz w:val="24"/>
                <w:szCs w:val="24"/>
              </w:rPr>
            </w:pPr>
            <w:r>
              <w:rPr>
                <w:rFonts w:cs="Calibri"/>
                <w:b/>
                <w:bCs/>
                <w:sz w:val="24"/>
                <w:szCs w:val="24"/>
              </w:rPr>
              <w:t xml:space="preserve">The loan amount shall be </w:t>
            </w:r>
            <w:r w:rsidR="005B6303">
              <w:rPr>
                <w:rFonts w:cs="Calibri"/>
                <w:b/>
                <w:bCs/>
                <w:sz w:val="24"/>
                <w:szCs w:val="24"/>
              </w:rPr>
              <w:t>7</w:t>
            </w:r>
            <w:r>
              <w:rPr>
                <w:rFonts w:cs="Calibri"/>
                <w:b/>
                <w:bCs/>
                <w:sz w:val="24"/>
                <w:szCs w:val="24"/>
              </w:rPr>
              <w:t xml:space="preserve">0% of the cost price of the asset, which shall be combined with the </w:t>
            </w:r>
            <w:r w:rsidR="005B6303">
              <w:rPr>
                <w:rFonts w:cs="Calibri"/>
                <w:b/>
                <w:bCs/>
                <w:sz w:val="24"/>
                <w:szCs w:val="24"/>
              </w:rPr>
              <w:t>3</w:t>
            </w:r>
            <w:r>
              <w:rPr>
                <w:rFonts w:cs="Calibri"/>
                <w:b/>
                <w:bCs/>
                <w:sz w:val="24"/>
                <w:szCs w:val="24"/>
              </w:rPr>
              <w:t>0% deposit from the client and paid by the bank to the manufacturer/ supplier of the asset.</w:t>
            </w:r>
          </w:p>
          <w:p w14:paraId="4C99EFB8" w14:textId="77777777" w:rsidR="00466873" w:rsidRDefault="00466873" w:rsidP="00DE05C3">
            <w:pPr>
              <w:pStyle w:val="ListParagraph"/>
              <w:numPr>
                <w:ilvl w:val="0"/>
                <w:numId w:val="2"/>
              </w:numPr>
              <w:spacing w:after="0" w:line="360" w:lineRule="auto"/>
              <w:rPr>
                <w:rFonts w:cs="Calibri"/>
                <w:b/>
                <w:bCs/>
                <w:sz w:val="24"/>
                <w:szCs w:val="24"/>
              </w:rPr>
            </w:pPr>
            <w:r>
              <w:rPr>
                <w:rFonts w:cs="Calibri"/>
                <w:b/>
                <w:bCs/>
                <w:sz w:val="24"/>
                <w:szCs w:val="24"/>
              </w:rPr>
              <w:t>The amount also depends on capacity of the borrower to service the loan.</w:t>
            </w:r>
          </w:p>
        </w:tc>
      </w:tr>
      <w:tr w:rsidR="00466873" w14:paraId="3DD72C76" w14:textId="77777777" w:rsidTr="00466873">
        <w:tc>
          <w:tcPr>
            <w:tcW w:w="1927" w:type="dxa"/>
            <w:tcBorders>
              <w:top w:val="single" w:sz="4" w:space="0" w:color="auto"/>
              <w:left w:val="single" w:sz="4" w:space="0" w:color="auto"/>
              <w:bottom w:val="single" w:sz="4" w:space="0" w:color="auto"/>
              <w:right w:val="single" w:sz="4" w:space="0" w:color="auto"/>
            </w:tcBorders>
            <w:hideMark/>
          </w:tcPr>
          <w:p w14:paraId="17304B97" w14:textId="77777777" w:rsidR="00466873" w:rsidRDefault="00466873">
            <w:pPr>
              <w:spacing w:after="0" w:line="360" w:lineRule="auto"/>
              <w:rPr>
                <w:rFonts w:cs="Calibri"/>
                <w:b/>
                <w:bCs/>
                <w:sz w:val="24"/>
                <w:szCs w:val="24"/>
              </w:rPr>
            </w:pPr>
            <w:r>
              <w:rPr>
                <w:rFonts w:cs="Calibri"/>
                <w:b/>
                <w:bCs/>
                <w:sz w:val="24"/>
                <w:szCs w:val="24"/>
              </w:rPr>
              <w:t>Loan Tenure</w:t>
            </w:r>
          </w:p>
        </w:tc>
        <w:tc>
          <w:tcPr>
            <w:tcW w:w="11222" w:type="dxa"/>
            <w:tcBorders>
              <w:top w:val="single" w:sz="4" w:space="0" w:color="auto"/>
              <w:left w:val="single" w:sz="4" w:space="0" w:color="auto"/>
              <w:bottom w:val="single" w:sz="4" w:space="0" w:color="auto"/>
              <w:right w:val="single" w:sz="4" w:space="0" w:color="auto"/>
            </w:tcBorders>
            <w:hideMark/>
          </w:tcPr>
          <w:p w14:paraId="32D09AFA" w14:textId="77777777" w:rsidR="00466873" w:rsidRDefault="00466873">
            <w:pPr>
              <w:spacing w:after="0" w:line="360" w:lineRule="auto"/>
              <w:rPr>
                <w:rFonts w:cs="Calibri"/>
                <w:b/>
                <w:bCs/>
                <w:sz w:val="24"/>
                <w:szCs w:val="24"/>
              </w:rPr>
            </w:pPr>
            <w:r>
              <w:rPr>
                <w:rFonts w:cs="Calibri"/>
                <w:b/>
                <w:bCs/>
                <w:sz w:val="24"/>
                <w:szCs w:val="24"/>
              </w:rPr>
              <w:t>Maximum – 12 months</w:t>
            </w:r>
          </w:p>
          <w:p w14:paraId="07D6285D" w14:textId="77777777" w:rsidR="00466873" w:rsidRDefault="00466873" w:rsidP="00DE05C3">
            <w:pPr>
              <w:pStyle w:val="ListParagraph"/>
              <w:numPr>
                <w:ilvl w:val="0"/>
                <w:numId w:val="2"/>
              </w:numPr>
              <w:spacing w:after="0" w:line="360" w:lineRule="auto"/>
              <w:rPr>
                <w:rFonts w:cs="Calibri"/>
                <w:b/>
                <w:bCs/>
                <w:sz w:val="24"/>
                <w:szCs w:val="24"/>
              </w:rPr>
            </w:pPr>
            <w:r>
              <w:rPr>
                <w:rFonts w:cs="Calibri"/>
                <w:b/>
                <w:bCs/>
                <w:sz w:val="24"/>
                <w:szCs w:val="24"/>
                <w:lang w:val="en-US"/>
              </w:rPr>
              <w:t xml:space="preserve">To mitigate against risks associated with policy changes, it is proposed that the maximum tenure for this product be 12 months. </w:t>
            </w:r>
          </w:p>
        </w:tc>
      </w:tr>
      <w:tr w:rsidR="00466873" w14:paraId="6B54224D" w14:textId="77777777" w:rsidTr="00466873">
        <w:tc>
          <w:tcPr>
            <w:tcW w:w="1927" w:type="dxa"/>
            <w:tcBorders>
              <w:top w:val="single" w:sz="4" w:space="0" w:color="auto"/>
              <w:left w:val="single" w:sz="4" w:space="0" w:color="auto"/>
              <w:bottom w:val="single" w:sz="4" w:space="0" w:color="auto"/>
              <w:right w:val="single" w:sz="4" w:space="0" w:color="auto"/>
            </w:tcBorders>
            <w:hideMark/>
          </w:tcPr>
          <w:p w14:paraId="02D178F2" w14:textId="77777777" w:rsidR="00466873" w:rsidRDefault="00466873">
            <w:pPr>
              <w:spacing w:after="0" w:line="360" w:lineRule="auto"/>
              <w:rPr>
                <w:rFonts w:cs="Calibri"/>
                <w:b/>
                <w:bCs/>
                <w:sz w:val="24"/>
                <w:szCs w:val="24"/>
              </w:rPr>
            </w:pPr>
            <w:r>
              <w:rPr>
                <w:rFonts w:cs="Calibri"/>
                <w:b/>
                <w:bCs/>
                <w:sz w:val="24"/>
                <w:szCs w:val="24"/>
              </w:rPr>
              <w:t>Admin Fee</w:t>
            </w:r>
          </w:p>
        </w:tc>
        <w:tc>
          <w:tcPr>
            <w:tcW w:w="11222" w:type="dxa"/>
            <w:tcBorders>
              <w:top w:val="single" w:sz="4" w:space="0" w:color="auto"/>
              <w:left w:val="single" w:sz="4" w:space="0" w:color="auto"/>
              <w:bottom w:val="single" w:sz="4" w:space="0" w:color="auto"/>
              <w:right w:val="single" w:sz="4" w:space="0" w:color="auto"/>
            </w:tcBorders>
            <w:hideMark/>
          </w:tcPr>
          <w:p w14:paraId="391999BB" w14:textId="77777777" w:rsidR="00466873" w:rsidRDefault="00466873" w:rsidP="00DE05C3">
            <w:pPr>
              <w:pStyle w:val="ListParagraph"/>
              <w:numPr>
                <w:ilvl w:val="0"/>
                <w:numId w:val="2"/>
              </w:numPr>
              <w:spacing w:after="0" w:line="360" w:lineRule="auto"/>
              <w:rPr>
                <w:rFonts w:cs="Calibri"/>
                <w:b/>
                <w:bCs/>
                <w:sz w:val="24"/>
                <w:szCs w:val="24"/>
              </w:rPr>
            </w:pPr>
            <w:r>
              <w:rPr>
                <w:rFonts w:cs="Calibri"/>
                <w:b/>
                <w:bCs/>
                <w:sz w:val="24"/>
                <w:szCs w:val="24"/>
              </w:rPr>
              <w:t>10% Admin &amp; 1% insurance (upfront)</w:t>
            </w:r>
          </w:p>
          <w:p w14:paraId="262B6F28" w14:textId="77777777" w:rsidR="00466873" w:rsidRDefault="00466873" w:rsidP="00DE05C3">
            <w:pPr>
              <w:pStyle w:val="ListParagraph"/>
              <w:numPr>
                <w:ilvl w:val="0"/>
                <w:numId w:val="2"/>
              </w:numPr>
              <w:spacing w:after="0" w:line="360" w:lineRule="auto"/>
              <w:rPr>
                <w:rFonts w:cs="Calibri"/>
                <w:b/>
                <w:bCs/>
                <w:sz w:val="24"/>
                <w:szCs w:val="24"/>
              </w:rPr>
            </w:pPr>
            <w:r>
              <w:rPr>
                <w:rFonts w:cs="Calibri"/>
                <w:b/>
                <w:bCs/>
                <w:sz w:val="24"/>
                <w:szCs w:val="24"/>
                <w:lang w:val="en-US"/>
              </w:rPr>
              <w:t>The admin and insurance fees shall be paid upfront in USD or be grossed up on the loan amount if the client does not have it upfront. The admin is high to cover for the capped interest rate.</w:t>
            </w:r>
          </w:p>
        </w:tc>
      </w:tr>
      <w:tr w:rsidR="00466873" w14:paraId="54F243CA" w14:textId="77777777" w:rsidTr="00466873">
        <w:tc>
          <w:tcPr>
            <w:tcW w:w="1927" w:type="dxa"/>
            <w:tcBorders>
              <w:top w:val="single" w:sz="4" w:space="0" w:color="auto"/>
              <w:left w:val="single" w:sz="4" w:space="0" w:color="auto"/>
              <w:bottom w:val="single" w:sz="4" w:space="0" w:color="auto"/>
              <w:right w:val="single" w:sz="4" w:space="0" w:color="auto"/>
            </w:tcBorders>
            <w:hideMark/>
          </w:tcPr>
          <w:p w14:paraId="15B4DCD6" w14:textId="77777777" w:rsidR="00466873" w:rsidRDefault="00466873">
            <w:pPr>
              <w:spacing w:after="0" w:line="360" w:lineRule="auto"/>
              <w:rPr>
                <w:rFonts w:cs="Calibri"/>
                <w:b/>
                <w:bCs/>
                <w:sz w:val="24"/>
                <w:szCs w:val="24"/>
              </w:rPr>
            </w:pPr>
            <w:r>
              <w:rPr>
                <w:rFonts w:cs="Calibri"/>
                <w:b/>
                <w:bCs/>
                <w:sz w:val="24"/>
                <w:szCs w:val="24"/>
              </w:rPr>
              <w:t>Interest</w:t>
            </w:r>
          </w:p>
        </w:tc>
        <w:tc>
          <w:tcPr>
            <w:tcW w:w="11222" w:type="dxa"/>
            <w:tcBorders>
              <w:top w:val="single" w:sz="4" w:space="0" w:color="auto"/>
              <w:left w:val="single" w:sz="4" w:space="0" w:color="auto"/>
              <w:bottom w:val="single" w:sz="4" w:space="0" w:color="auto"/>
              <w:right w:val="single" w:sz="4" w:space="0" w:color="auto"/>
            </w:tcBorders>
            <w:hideMark/>
          </w:tcPr>
          <w:p w14:paraId="5688B0C4" w14:textId="77777777" w:rsidR="00466873" w:rsidRDefault="005B6303" w:rsidP="00DE05C3">
            <w:pPr>
              <w:pStyle w:val="ListParagraph"/>
              <w:numPr>
                <w:ilvl w:val="0"/>
                <w:numId w:val="2"/>
              </w:numPr>
              <w:spacing w:after="0" w:line="360" w:lineRule="auto"/>
              <w:rPr>
                <w:rFonts w:cs="Calibri"/>
                <w:b/>
                <w:bCs/>
                <w:sz w:val="24"/>
                <w:szCs w:val="24"/>
              </w:rPr>
            </w:pPr>
            <w:r>
              <w:rPr>
                <w:rFonts w:cs="Calibri"/>
                <w:b/>
                <w:bCs/>
                <w:sz w:val="24"/>
                <w:szCs w:val="24"/>
              </w:rPr>
              <w:t>5</w:t>
            </w:r>
            <w:r w:rsidR="00466873">
              <w:rPr>
                <w:rFonts w:cs="Calibri"/>
                <w:b/>
                <w:bCs/>
                <w:sz w:val="24"/>
                <w:szCs w:val="24"/>
              </w:rPr>
              <w:t>% per month flat rate</w:t>
            </w:r>
          </w:p>
        </w:tc>
      </w:tr>
      <w:tr w:rsidR="00466873" w14:paraId="2075795B" w14:textId="77777777" w:rsidTr="00466873">
        <w:tc>
          <w:tcPr>
            <w:tcW w:w="1927" w:type="dxa"/>
            <w:tcBorders>
              <w:top w:val="single" w:sz="4" w:space="0" w:color="auto"/>
              <w:left w:val="single" w:sz="4" w:space="0" w:color="auto"/>
              <w:bottom w:val="single" w:sz="4" w:space="0" w:color="auto"/>
              <w:right w:val="single" w:sz="4" w:space="0" w:color="auto"/>
            </w:tcBorders>
            <w:hideMark/>
          </w:tcPr>
          <w:p w14:paraId="6D1F8E7F" w14:textId="77777777" w:rsidR="00466873" w:rsidRDefault="00466873">
            <w:pPr>
              <w:spacing w:after="0" w:line="360" w:lineRule="auto"/>
              <w:rPr>
                <w:rFonts w:cs="Calibri"/>
                <w:b/>
                <w:bCs/>
                <w:sz w:val="24"/>
                <w:szCs w:val="24"/>
              </w:rPr>
            </w:pPr>
            <w:r>
              <w:rPr>
                <w:rFonts w:cs="Calibri"/>
                <w:b/>
                <w:bCs/>
                <w:sz w:val="24"/>
                <w:szCs w:val="24"/>
              </w:rPr>
              <w:t>General Insurance</w:t>
            </w:r>
          </w:p>
        </w:tc>
        <w:tc>
          <w:tcPr>
            <w:tcW w:w="11222" w:type="dxa"/>
            <w:tcBorders>
              <w:top w:val="single" w:sz="4" w:space="0" w:color="auto"/>
              <w:left w:val="single" w:sz="4" w:space="0" w:color="auto"/>
              <w:bottom w:val="single" w:sz="4" w:space="0" w:color="auto"/>
              <w:right w:val="single" w:sz="4" w:space="0" w:color="auto"/>
            </w:tcBorders>
            <w:hideMark/>
          </w:tcPr>
          <w:p w14:paraId="6EAA907A" w14:textId="77777777" w:rsidR="00466873" w:rsidRDefault="00466873" w:rsidP="00DE05C3">
            <w:pPr>
              <w:pStyle w:val="ListParagraph"/>
              <w:numPr>
                <w:ilvl w:val="0"/>
                <w:numId w:val="3"/>
              </w:numPr>
              <w:spacing w:after="0" w:line="360" w:lineRule="auto"/>
              <w:rPr>
                <w:rFonts w:cs="Calibri"/>
                <w:b/>
                <w:bCs/>
                <w:sz w:val="24"/>
                <w:szCs w:val="24"/>
              </w:rPr>
            </w:pPr>
            <w:r>
              <w:rPr>
                <w:rFonts w:cs="Calibri"/>
                <w:b/>
                <w:bCs/>
                <w:sz w:val="24"/>
                <w:szCs w:val="24"/>
              </w:rPr>
              <w:t>All assets shall be insured against theft, fire with Cell Insurance at a rate of 1% on movable assets and 0.6% stationery assets as advised by the Insurer. The cost shall be paid by the client.</w:t>
            </w:r>
          </w:p>
        </w:tc>
      </w:tr>
      <w:tr w:rsidR="00466873" w14:paraId="6857FBC1" w14:textId="77777777" w:rsidTr="00466873">
        <w:tc>
          <w:tcPr>
            <w:tcW w:w="1927" w:type="dxa"/>
            <w:tcBorders>
              <w:top w:val="single" w:sz="4" w:space="0" w:color="auto"/>
              <w:left w:val="single" w:sz="4" w:space="0" w:color="auto"/>
              <w:bottom w:val="single" w:sz="4" w:space="0" w:color="auto"/>
              <w:right w:val="single" w:sz="4" w:space="0" w:color="auto"/>
            </w:tcBorders>
            <w:hideMark/>
          </w:tcPr>
          <w:p w14:paraId="55BD543A" w14:textId="77777777" w:rsidR="00466873" w:rsidRDefault="00466873">
            <w:pPr>
              <w:spacing w:after="0" w:line="360" w:lineRule="auto"/>
              <w:rPr>
                <w:rFonts w:cs="Calibri"/>
                <w:b/>
                <w:bCs/>
                <w:sz w:val="24"/>
                <w:szCs w:val="24"/>
              </w:rPr>
            </w:pPr>
            <w:r>
              <w:rPr>
                <w:rFonts w:cs="Calibri"/>
                <w:b/>
                <w:bCs/>
                <w:sz w:val="24"/>
                <w:szCs w:val="24"/>
              </w:rPr>
              <w:t>Penalty Interest</w:t>
            </w:r>
          </w:p>
        </w:tc>
        <w:tc>
          <w:tcPr>
            <w:tcW w:w="11222" w:type="dxa"/>
            <w:tcBorders>
              <w:top w:val="single" w:sz="4" w:space="0" w:color="auto"/>
              <w:left w:val="single" w:sz="4" w:space="0" w:color="auto"/>
              <w:bottom w:val="single" w:sz="4" w:space="0" w:color="auto"/>
              <w:right w:val="single" w:sz="4" w:space="0" w:color="auto"/>
            </w:tcBorders>
            <w:hideMark/>
          </w:tcPr>
          <w:p w14:paraId="5B550970" w14:textId="77777777" w:rsidR="00466873" w:rsidRDefault="00466873" w:rsidP="00DE05C3">
            <w:pPr>
              <w:pStyle w:val="ListParagraph"/>
              <w:numPr>
                <w:ilvl w:val="0"/>
                <w:numId w:val="3"/>
              </w:numPr>
              <w:spacing w:after="0" w:line="360" w:lineRule="auto"/>
              <w:rPr>
                <w:rFonts w:cs="Calibri"/>
                <w:b/>
                <w:bCs/>
                <w:sz w:val="24"/>
                <w:szCs w:val="24"/>
              </w:rPr>
            </w:pPr>
            <w:r>
              <w:rPr>
                <w:rFonts w:cs="Calibri"/>
                <w:b/>
                <w:bCs/>
                <w:sz w:val="24"/>
                <w:szCs w:val="24"/>
              </w:rPr>
              <w:t>5% per month of the amount in arrears</w:t>
            </w:r>
          </w:p>
        </w:tc>
      </w:tr>
    </w:tbl>
    <w:p w14:paraId="126214CD" w14:textId="77777777" w:rsidR="001A1467" w:rsidRDefault="001A1467"/>
    <w:sectPr w:rsidR="001A1467" w:rsidSect="004668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30F0"/>
    <w:multiLevelType w:val="hybridMultilevel"/>
    <w:tmpl w:val="4B3EE60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69BB77AC"/>
    <w:multiLevelType w:val="hybridMultilevel"/>
    <w:tmpl w:val="B288B458"/>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2" w15:restartNumberingAfterBreak="0">
    <w:nsid w:val="79783DC3"/>
    <w:multiLevelType w:val="hybridMultilevel"/>
    <w:tmpl w:val="C5967E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649793053">
    <w:abstractNumId w:val="0"/>
  </w:num>
  <w:num w:numId="2" w16cid:durableId="250703913">
    <w:abstractNumId w:val="1"/>
  </w:num>
  <w:num w:numId="3" w16cid:durableId="593438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73"/>
    <w:rsid w:val="000B5ACB"/>
    <w:rsid w:val="001A1467"/>
    <w:rsid w:val="00255C00"/>
    <w:rsid w:val="00466873"/>
    <w:rsid w:val="00493B67"/>
    <w:rsid w:val="005674C8"/>
    <w:rsid w:val="005B630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CFFC"/>
  <w15:docId w15:val="{C6B19090-3644-47D3-8B17-2B9C7A50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73"/>
    <w:pPr>
      <w:spacing w:before="225" w:after="30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8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Cleophas Jera</dc:creator>
  <cp:lastModifiedBy>Joyce Upenyu. Matione</cp:lastModifiedBy>
  <cp:revision>2</cp:revision>
  <dcterms:created xsi:type="dcterms:W3CDTF">2023-03-06T07:38:00Z</dcterms:created>
  <dcterms:modified xsi:type="dcterms:W3CDTF">2023-03-06T07:38:00Z</dcterms:modified>
</cp:coreProperties>
</file>